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EMITER                                                                                                   </w:t>
            </w:r>
            <w:r>
              <w:rPr>
                <w:shd w:fill="auto" w:val="clear"/>
              </w:rPr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typu: </w:t>
      </w:r>
      <w:r>
        <w:rPr>
          <w:rFonts w:cs="Arial" w:ascii="Arial" w:hAnsi="Arial"/>
          <w:b/>
          <w:sz w:val="32"/>
          <w:szCs w:val="32"/>
          <w:shd w:fill="auto" w:val="clear"/>
        </w:rPr>
        <w:t xml:space="preserve">ETSI 30-60 2x630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  <w:highlight w:val="none"/>
          <w:shd w:fill="auto" w:val="clear"/>
        </w:rPr>
      </w:pPr>
      <w:r>
        <w:rPr>
          <w:rFonts w:cs="Arial" w:ascii="Arial" w:hAnsi="Arial"/>
          <w:b/>
          <w:sz w:val="32"/>
          <w:szCs w:val="32"/>
          <w:shd w:fill="auto" w:val="clear"/>
        </w:rPr>
      </w:r>
    </w:p>
    <w:p>
      <w:pPr>
        <w:pStyle w:val="Normal"/>
        <w:spacing w:lineRule="auto" w:line="288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6"/>
          <w:szCs w:val="36"/>
          <w:shd w:fill="auto" w:val="clear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  <w:shd w:fill="auto" w:val="clear"/>
              </w:rPr>
              <w:t xml:space="preserve">ETSI 30-60 2x630 kVA 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……………</w:t>
            </w:r>
            <w:r>
              <w:rPr>
                <w:shd w:fill="auto" w:val="clear"/>
              </w:rPr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i/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 w:ascii="Arial" w:hAnsi="Arial"/>
                <w:sz w:val="20"/>
                <w:szCs w:val="20"/>
                <w:shd w:fill="auto" w:val="clear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 xml:space="preserve">dz. Nr.: 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Budowlana: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</w:t>
            </w:r>
            <w:r>
              <w:rPr>
                <w:rFonts w:cs="Arial" w:ascii="Arial" w:hAnsi="Arial"/>
                <w:b/>
                <w:shd w:fill="auto" w:val="clear"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Elektryczna: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>
              <w:highlight w:val="none"/>
              <w:shd w:fill="auto" w:val="clear"/>
            </w:rPr>
          </w:pPr>
          <w:bookmarkStart w:id="0" w:name="_Toc109201578"/>
          <w:r>
            <w:rPr>
              <w:rFonts w:ascii="Times New Roman" w:hAnsi="Times New Roman"/>
              <w:color w:val="00000A"/>
              <w:shd w:fill="auto" w:val="clear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shd w:fill="auto" w:val="clear"/>
            </w:rPr>
            <w:instrText xml:space="preserve"> TOC \z \u \t "Nagłówek 31,3,Nagłówek 11,1" \h</w:instrText>
          </w:r>
          <w:r>
            <w:rPr>
              <w:webHidden/>
              <w:rStyle w:val="czeindeksu"/>
              <w:shd w:fill="auto" w:val="clear"/>
            </w:rPr>
            <w:fldChar w:fldCharType="separate"/>
          </w:r>
          <w:hyperlink w:anchor="_Toc109201578">
            <w:r>
              <w:rPr>
                <w:webHidden/>
                <w:rStyle w:val="czeindeksu"/>
                <w:shd w:fill="auto" w:val="clear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79">
            <w:r>
              <w:rPr>
                <w:webHidden/>
                <w:rStyle w:val="czeindeksu"/>
                <w:shd w:fill="auto" w:val="clear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0">
            <w:r>
              <w:rPr>
                <w:webHidden/>
                <w:rStyle w:val="czeindeksu"/>
                <w:shd w:fill="auto" w:val="clear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1">
            <w:r>
              <w:rPr>
                <w:webHidden/>
                <w:rStyle w:val="czeindeksu"/>
                <w:shd w:fill="auto" w:val="clear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2">
            <w:r>
              <w:rPr>
                <w:webHidden/>
                <w:rStyle w:val="czeindeksu"/>
                <w:shd w:fill="auto" w:val="clear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3">
            <w:r>
              <w:rPr>
                <w:webHidden/>
                <w:rStyle w:val="czeindeksu"/>
                <w:shd w:fill="auto" w:val="clear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4">
            <w:r>
              <w:rPr>
                <w:webHidden/>
                <w:rStyle w:val="czeindeksu"/>
                <w:shd w:fill="auto" w:val="clear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5">
            <w:r>
              <w:rPr>
                <w:webHidden/>
                <w:rStyle w:val="czeindeksu"/>
                <w:shd w:fill="auto" w:val="clear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86">
            <w:r>
              <w:rPr>
                <w:webHidden/>
                <w:rStyle w:val="czeindeksu"/>
                <w:shd w:fill="auto" w:val="clear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7">
            <w:r>
              <w:rPr>
                <w:webHidden/>
                <w:rStyle w:val="czeindeksu"/>
                <w:shd w:fill="auto" w:val="clear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8">
            <w:r>
              <w:rPr>
                <w:webHidden/>
                <w:rStyle w:val="czeindeksu"/>
                <w:shd w:fill="auto" w:val="clear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bCs/>
                <w:shd w:fill="auto" w:val="clear"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9">
            <w:r>
              <w:rPr>
                <w:webHidden/>
                <w:rStyle w:val="czeindeksu"/>
                <w:shd w:fill="auto" w:val="clear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90">
            <w:r>
              <w:rPr>
                <w:webHidden/>
                <w:rStyle w:val="czeindeksu"/>
                <w:shd w:fill="auto" w:val="clear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1">
            <w:r>
              <w:rPr>
                <w:webHidden/>
                <w:rStyle w:val="czeindeksu"/>
                <w:shd w:fill="auto" w:val="clear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2">
            <w:r>
              <w:rPr>
                <w:webHidden/>
                <w:rStyle w:val="czeindeksu"/>
                <w:shd w:fill="auto" w:val="clear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3">
            <w:r>
              <w:rPr>
                <w:webHidden/>
                <w:rStyle w:val="czeindeksu"/>
                <w:shd w:fill="auto" w:val="clear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4">
            <w:r>
              <w:rPr>
                <w:webHidden/>
                <w:rStyle w:val="czeindeksu"/>
                <w:shd w:fill="auto" w:val="clear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5">
            <w:r>
              <w:rPr>
                <w:webHidden/>
                <w:rStyle w:val="czeindeksu"/>
                <w:shd w:fill="auto" w:val="clear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  <w:shd w:fill="auto" w:val="clear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6">
            <w:r>
              <w:rPr>
                <w:webHidden/>
                <w:rStyle w:val="czeindeksu"/>
                <w:shd w:fill="auto" w:val="clear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7">
            <w:r>
              <w:rPr>
                <w:webHidden/>
                <w:rStyle w:val="czeindeksu"/>
                <w:shd w:fill="auto" w:val="clear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8">
            <w:r>
              <w:rPr>
                <w:webHidden/>
                <w:rStyle w:val="czeindeksu"/>
                <w:shd w:fill="auto" w:val="clear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9">
            <w:r>
              <w:rPr>
                <w:webHidden/>
                <w:rStyle w:val="czeindeksu"/>
                <w:shd w:fill="auto" w:val="clear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>
              <w:highlight w:val="none"/>
              <w:shd w:fill="auto" w:val="clear"/>
            </w:rPr>
          </w:pPr>
          <w:r>
            <w:rPr>
              <w:shd w:fill="auto" w:val="clear"/>
            </w:rPr>
          </w:r>
          <w:r>
            <w:rPr>
              <w:shd w:fill="auto" w:val="clear"/>
            </w:rPr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spacing w:before="0" w:after="120"/>
        <w:ind w:hanging="0" w:left="340"/>
        <w:jc w:val="center"/>
        <w:rPr>
          <w:highlight w:val="none"/>
          <w:shd w:fill="auto" w:val="clear"/>
        </w:rPr>
      </w:pPr>
      <w:r>
        <w:br w:type="column"/>
      </w:r>
      <w:bookmarkStart w:id="1" w:name="_Toc109201579"/>
      <w:r>
        <w:rPr>
          <w:u w:val="single"/>
          <w:shd w:fill="auto" w:val="clear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" w:name="_Toc109201580"/>
      <w:r>
        <w:rPr>
          <w:shd w:fill="auto" w:val="clear"/>
        </w:rPr>
        <w:t>Przedmiot i zakres opracowania</w:t>
      </w:r>
      <w:bookmarkEnd w:id="2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zakłady przemysłowe itp.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" w:name="_Toc109201581"/>
      <w:bookmarkStart w:id="4" w:name="_Toc98235859"/>
      <w:bookmarkStart w:id="5" w:name="_Toc95894891"/>
      <w:bookmarkEnd w:id="4"/>
      <w:bookmarkEnd w:id="5"/>
      <w:r>
        <w:rPr>
          <w:shd w:fill="auto" w:val="clear"/>
        </w:rPr>
        <w:t>Oznaczenie stacji</w:t>
      </w:r>
      <w:bookmarkEnd w:id="3"/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Stacja została oznaczona za pomocą symboli literowo-cyfrowych.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Znaczenie poszczególnych symboli jest następujące: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</w:r>
      <w:r>
        <w:rPr>
          <w:shd w:fill="auto" w:val="clear"/>
          <w:lang w:val="en-US"/>
        </w:rPr>
        <w:t>Przykład: ETSI 30-60</w:t>
      </w:r>
    </w:p>
    <w:p>
      <w:pPr>
        <w:pStyle w:val="Normal"/>
        <w:spacing w:lineRule="auto" w:line="276" w:before="0" w:after="0"/>
        <w:ind w:hanging="0" w:left="708"/>
        <w:rPr>
          <w:highlight w:val="none"/>
          <w:shd w:fill="auto" w:val="clear"/>
        </w:rPr>
      </w:pPr>
      <w:r>
        <w:rPr>
          <w:shd w:fill="auto" w:val="clear"/>
          <w:lang w:val="en-GB"/>
        </w:rPr>
        <w:t>ETSI</w:t>
        <w:tab/>
        <w:t xml:space="preserve">– Emiter Transformer Substation with Internal Operation. </w:t>
      </w:r>
      <w:r>
        <w:rPr>
          <w:shd w:fill="auto" w:val="clear"/>
        </w:rPr>
        <w:t>Stacja transformatorowa z wewnętrznym korytarzem obsługi;</w:t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  <w:t>30-60 – wymiary budynku 3,00m x 6,00m</w:t>
      </w:r>
    </w:p>
    <w:p>
      <w:pPr>
        <w:pStyle w:val="Nagwek11"/>
        <w:numPr>
          <w:ilvl w:val="0"/>
          <w:numId w:val="3"/>
        </w:numPr>
        <w:spacing w:before="171" w:after="171"/>
        <w:rPr>
          <w:highlight w:val="none"/>
          <w:shd w:fill="auto" w:val="clear"/>
        </w:rPr>
      </w:pPr>
      <w:bookmarkStart w:id="6" w:name="_Toc109201582"/>
      <w:bookmarkStart w:id="7" w:name="_Toc98235860"/>
      <w:bookmarkEnd w:id="7"/>
      <w:r>
        <w:rPr>
          <w:shd w:fill="auto" w:val="clear"/>
        </w:rPr>
        <w:t>Geometria oraz forma obudowy stacji transformatorowej</w:t>
      </w:r>
      <w:bookmarkEnd w:id="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2"/>
          <w:szCs w:val="22"/>
          <w:shd w:fill="auto" w:val="clear"/>
          <w:lang w:eastAsia="ar-SA"/>
        </w:rPr>
        <w:t xml:space="preserve">Masa nominalna projektowanych elementów </w:t>
      </w:r>
      <w:r>
        <w:rPr>
          <w:b/>
          <w:sz w:val="22"/>
          <w:szCs w:val="22"/>
          <w:shd w:fill="auto" w:val="clear"/>
          <w:lang w:eastAsia="ar-SA"/>
        </w:rPr>
        <w:t>ETSI 30-60</w:t>
      </w:r>
      <w:r>
        <w:rPr>
          <w:b/>
          <w:sz w:val="22"/>
          <w:szCs w:val="22"/>
          <w:shd w:fill="auto" w:val="clear"/>
          <w:lang w:eastAsia="ar-SA"/>
        </w:rPr>
        <w:t xml:space="preserve">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Bryła główna 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21,6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Piwnica kablowa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9,4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Płyta dachowa </w:t>
            </w:r>
            <w:r>
              <w:rPr>
                <w:szCs w:val="24"/>
                <w:shd w:fill="auto" w:val="clear"/>
              </w:rPr>
              <w:t xml:space="preserve">[ t ]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6,1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37,1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highlight w:val="none"/>
          <w:shd w:fill="auto" w:val="clear"/>
          <w:lang w:eastAsia="ar-SA"/>
        </w:rPr>
      </w:pPr>
      <w:r>
        <w:rPr>
          <w:b/>
          <w:sz w:val="22"/>
          <w:szCs w:val="22"/>
          <w:shd w:fill="auto" w:val="clear"/>
          <w:lang w:eastAsia="ar-SA"/>
        </w:rPr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  <w:lang w:eastAsia="ar-SA"/>
        </w:rPr>
        <w:t xml:space="preserve">Wymiary projektowanej stacji ETSI </w:t>
      </w:r>
      <w:r>
        <w:rPr>
          <w:b/>
          <w:sz w:val="24"/>
          <w:szCs w:val="24"/>
          <w:shd w:fill="auto" w:val="clear"/>
          <w:lang w:eastAsia="ar-SA"/>
        </w:rPr>
        <w:t>3,00x 6,00: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6000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5760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3000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2760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3200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3000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5976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5736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2976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2736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6180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3180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200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3300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18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15,9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</w:tbl>
    <w:p>
      <w:pPr>
        <w:pStyle w:val="Normal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8" w:name="_Toc109201583"/>
      <w:bookmarkStart w:id="9" w:name="_Toc98235861"/>
      <w:bookmarkEnd w:id="9"/>
      <w:r>
        <w:rPr>
          <w:shd w:fill="auto" w:val="clear"/>
        </w:rPr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0" w:name="_Toc98235862"/>
      <w:r>
        <w:rPr>
          <w:shd w:fill="auto" w:val="clear"/>
        </w:rPr>
        <w:t>D</w:t>
      </w:r>
      <w:bookmarkEnd w:id="10"/>
      <w:r>
        <w:rPr>
          <w:shd w:fill="auto" w:val="clear"/>
        </w:rPr>
        <w:t>ach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200 mm. Płyta dachowa wykonana jest z betonu samozagęszczanego SCC klasy C-30/37. Elementy takie jak krawędź czy okap są dodatkowo dozbrajane.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1" w:name="_Toc98235863"/>
      <w:bookmarkEnd w:id="11"/>
      <w:r>
        <w:rPr>
          <w:shd w:fill="auto" w:val="clear"/>
        </w:rPr>
        <w:t>Bryła główna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2" w:name="_Toc98235864"/>
      <w:bookmarkEnd w:id="12"/>
      <w:r>
        <w:rPr>
          <w:shd w:fill="auto" w:val="clear"/>
        </w:rPr>
        <w:t>Piwnica kablowa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2x przepust bateryjny Fe/Zn 10x75 – dla kabli nN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>Warunki gruntowo-wodne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3" w:name="_Toc98235865"/>
      <w:bookmarkEnd w:id="13"/>
      <w:r>
        <w:rPr>
          <w:shd w:fill="auto" w:val="clear"/>
        </w:rPr>
        <w:t>Posadowienie na gruncie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4" w:name="_Toc109201584"/>
      <w:bookmarkStart w:id="15" w:name="_Toc98235866"/>
      <w:bookmarkEnd w:id="15"/>
      <w:r>
        <w:rPr>
          <w:shd w:fill="auto" w:val="clear"/>
        </w:rPr>
        <w:t>Wytyczne wykonania, podnoszenia, transportu oraz montażu</w:t>
      </w:r>
      <w:bookmarkEnd w:id="14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6" w:name="_Toc98235868"/>
      <w:r>
        <w:rPr>
          <w:shd w:fill="auto" w:val="clear"/>
        </w:rPr>
        <w:t>Podnoszenie składowanie i transport</w:t>
      </w:r>
      <w:bookmarkEnd w:id="16"/>
      <w:r>
        <w:rPr>
          <w:shd w:fill="auto" w:val="clear"/>
        </w:rPr>
        <w:t xml:space="preserve"> elementów obudowy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Elementy obudowy należy podnosić i transportować przy użyciu dźwigu lub suwnicy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  <w:t>Elementy obudowy składować należy na terenie płaskim, utwardzonym.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7" w:name="_Toc98235869"/>
      <w:bookmarkEnd w:id="17"/>
      <w:r>
        <w:rPr>
          <w:shd w:fill="auto" w:val="clear"/>
        </w:rPr>
        <w:t>Opis montażu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Podobnie ma się sytuacja w odniesieniu dla podłogi, przy czym tutaj podpory stanowią ściany po długości elementu piwnicy.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8" w:name="_Toc98235870"/>
      <w:bookmarkEnd w:id="18"/>
      <w:r>
        <w:rPr>
          <w:shd w:fill="auto" w:val="clear"/>
        </w:rPr>
        <w:t>Zasady bezpieczeństwa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9" w:name="_Toc109201585"/>
      <w:bookmarkStart w:id="20" w:name="_Toc98235871"/>
      <w:bookmarkEnd w:id="20"/>
      <w:r>
        <w:rPr>
          <w:shd w:fill="auto" w:val="clear"/>
        </w:rPr>
        <w:t>Odporność pożarowa i lokalizacja stacji na działce</w:t>
      </w:r>
      <w:bookmarkEnd w:id="19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 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>
          <w:highlight w:val="none"/>
          <w:shd w:fill="auto" w:val="clear"/>
        </w:rPr>
      </w:pPr>
      <w:r>
        <w:rPr>
          <w:shd w:fill="auto" w:val="clear"/>
        </w:rPr>
        <w:t>Wytrzymałość ogniowa obudowy stacji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 w:cs="Symbol"/>
          <w:shd w:fill="auto" w:val="clear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/>
          <w:shd w:fill="auto" w:val="clear"/>
        </w:rPr>
        <w:t>Elementy obudowy posiadają klasę odporności ogniowej odpowiednio do ich klasy odporności pożarowej i nierozprzestrzeniają ognia – ściana boczna i tylna (bez kraty wentylacyjnej) i dach – REI 120.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Drzwi w ścianie frontowej (do komór transformatorów oraz do przedziału obsługi wewnętrznej) są stalowe, płaszczowe i mogą być wykonane w wersji posiadającej odporność ogniową do EI 120. Z kolei kraty wentylacyjne w ścianie tylnej i bocznej mogą posiadać klapy ppoż. o odporności ogniowej do EI 120.</w:t>
      </w:r>
    </w:p>
    <w:p>
      <w:pPr>
        <w:pStyle w:val="Normal"/>
        <w:rPr>
          <w:rFonts w:eastAsia="Symbol" w:cs="Symbol"/>
          <w:highlight w:val="none"/>
          <w:shd w:fill="auto" w:val="clear"/>
        </w:rPr>
      </w:pPr>
      <w:r>
        <w:rPr>
          <w:rFonts w:eastAsia="Symbol" w:cs="Symbol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highlight w:val="none"/>
          <w:shd w:fill="auto" w:val="clear"/>
        </w:rPr>
      </w:pPr>
      <w:bookmarkStart w:id="21" w:name="_Toc109201586"/>
      <w:r>
        <w:rPr>
          <w:u w:val="single"/>
          <w:shd w:fill="auto" w:val="clear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2" w:name="_Toc109201587"/>
      <w:r>
        <w:rPr>
          <w:shd w:fill="auto" w:val="clear"/>
        </w:rPr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3" w:name="_Toc98235873"/>
      <w:bookmarkEnd w:id="23"/>
      <w:r>
        <w:rPr>
          <w:shd w:fill="auto" w:val="clear"/>
        </w:rPr>
        <w:t>Wstęp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Projektuje się kontenerową stację transformatorową z obsługą wewnętrzną, </w:t>
        <w:br/>
        <w:t>typu ETSI 30 x 48 z dwoma transformatorami …/0,41kV o mocy 630 kVA.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8" w:name="_Toc98235875"/>
      <w:bookmarkEnd w:id="28"/>
      <w:r>
        <w:rPr>
          <w:shd w:fill="auto" w:val="clear"/>
        </w:rPr>
        <w:t>Rozdzielnica średniego napięcia</w:t>
      </w:r>
    </w:p>
    <w:p>
      <w:pPr>
        <w:pStyle w:val="ListParagraph"/>
        <w:ind w:hanging="0" w:left="340"/>
        <w:rPr>
          <w:highlight w:val="none"/>
          <w:shd w:fill="auto" w:val="clear"/>
        </w:rPr>
      </w:pPr>
      <w:r>
        <w:rPr>
          <w:shd w:fill="auto" w:val="clear"/>
        </w:rPr>
        <w:t xml:space="preserve">W stacji zastosowano 4-polową rozdzielnicę SN typu EMVS </w:t>
      </w:r>
      <w:r>
        <w:rPr>
          <w:shd w:fill="auto" w:val="clear"/>
        </w:rPr>
        <w:t>ECO</w:t>
      </w:r>
      <w:r>
        <w:rPr>
          <w:shd w:fill="auto" w:val="clear"/>
        </w:rPr>
        <w:t xml:space="preserve"> produkcji Emiter </w:t>
        <w:br/>
        <w:t xml:space="preserve">z aparaturą łączeniową w izolacji </w:t>
      </w:r>
      <w:r>
        <w:rPr>
          <w:shd w:fill="auto" w:val="clear"/>
        </w:rPr>
        <w:t xml:space="preserve">czystego powietrza – bez </w:t>
      </w:r>
      <w:r>
        <w:rPr>
          <w:shd w:fill="auto" w:val="clear"/>
        </w:rPr>
        <w:t>gazu SF</w:t>
      </w:r>
      <w:r>
        <w:rPr>
          <w:shd w:fill="auto" w:val="clear"/>
          <w:vertAlign w:val="subscript"/>
        </w:rPr>
        <w:t xml:space="preserve">6  </w:t>
      </w:r>
      <w:r>
        <w:rPr>
          <w:shd w:fill="auto" w:val="clear"/>
        </w:rPr>
        <w:t>- o konfiguracji: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2x pole wyłącznikowe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1x pole pomiarowe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  1x pole liniowe. 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SN: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</w:t>
      </w:r>
      <w:r>
        <w:rPr>
          <w:color w:val="000000"/>
          <w:szCs w:val="24"/>
          <w:shd w:fill="auto" w:val="clear"/>
        </w:rPr>
        <w:t xml:space="preserve">Szerokość - </w:t>
        <w:tab/>
        <w:t>2625 mm.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Głębokość - </w:t>
        <w:tab/>
      </w:r>
      <w:r>
        <w:rPr>
          <w:color w:val="000000"/>
          <w:szCs w:val="24"/>
          <w:shd w:fill="auto" w:val="clear"/>
        </w:rPr>
        <w:t>1026</w:t>
      </w:r>
      <w:r>
        <w:rPr>
          <w:color w:val="000000"/>
          <w:szCs w:val="24"/>
          <w:shd w:fill="auto" w:val="clear"/>
        </w:rPr>
        <w:t xml:space="preserve"> mm.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Rozdzielnica SN jest wyposażona w rozłącznik z napędem ręcznym (w polu liniowym). W polu wyłącznikowym znajduje się odłącznik z uziemnikiem dolnym i wyłącznik. W polu pomiarowym znajdują się 3 szt przekładników napięciowych i 3szt przekładników prądowych.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kablem 3xYHAKXS 1x70 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 Szczegółowe dane rozdzielnicy SN, znajdują się  w dokumentacji techniczno ruchowej rozdzielnicy SN. W polu transformatorowym zastosowano głowice typu C.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9" w:name="_Toc95894905"/>
      <w:bookmarkStart w:id="30" w:name="_Toc98235876"/>
      <w:bookmarkEnd w:id="29"/>
      <w:bookmarkEnd w:id="30"/>
      <w:r>
        <w:rPr>
          <w:shd w:fill="auto" w:val="clear"/>
        </w:rPr>
        <w:t>Rozdzielnica niskiego napięcia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rozwiązaniu stacji zastosowano dwie rozdzielnice niskiego napięcia typu RNTw produkcji EMITER. 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RNTw  wynoszą: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Szerokość - </w:t>
        <w:tab/>
        <w:t>1100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Wysokość - </w:t>
        <w:tab/>
        <w:t>2000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Głębokość - </w:t>
        <w:tab/>
        <w:t>400 mm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 rozdzielnicy RNTw, jako aparat główny zastosowano rozłącznik 1250A 3P.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10 x rozłącznik bezpiecznikowy listwowy NH-3.</w:t>
      </w:r>
    </w:p>
    <w:p>
      <w:pPr>
        <w:pStyle w:val="ListParagraph"/>
        <w:spacing w:before="0" w:after="0"/>
        <w:ind w:hanging="0" w:left="720"/>
        <w:contextualSpacing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 w:left="360"/>
        <w:rPr>
          <w:highlight w:val="none"/>
          <w:shd w:fill="auto" w:val="clear"/>
        </w:rPr>
      </w:pPr>
      <w:r>
        <w:rPr>
          <w:shd w:fill="auto" w:val="clear"/>
        </w:rPr>
        <w:t>W rozdzielnicy zastosowano most szynowy do 1250A.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kablami 3x(</w:t>
      </w:r>
      <w:r>
        <w:rPr>
          <w:color w:val="000000"/>
          <w:shd w:fill="auto" w:val="clear"/>
        </w:rPr>
        <w:t>2xYKY 1x240</w:t>
      </w:r>
      <w:r>
        <w:rPr>
          <w:shd w:fill="auto" w:val="clear"/>
        </w:rPr>
        <w:t xml:space="preserve">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). Rozdzielnica w wykonaniu standardowym przystosowana jest do pracy w układzie  IT.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>
          <w:highlight w:val="none"/>
          <w:shd w:fill="auto" w:val="clear"/>
        </w:rPr>
      </w:pPr>
      <w:r>
        <w:rPr>
          <w:b/>
          <w:shd w:fill="auto" w:val="clear"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1250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krótkotrwały wytrzymywany (I</w:t>
            </w:r>
            <w:r>
              <w:rPr>
                <w:shd w:fill="auto" w:val="clear"/>
                <w:vertAlign w:val="subscript"/>
              </w:rPr>
              <w:t>cw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szczytowy wytrzymywany (I</w:t>
            </w:r>
            <w:r>
              <w:rPr>
                <w:shd w:fill="auto" w:val="clear"/>
                <w:vertAlign w:val="subscript"/>
              </w:rPr>
              <w:t>pk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1" w:name="_Toc95894906"/>
      <w:bookmarkStart w:id="32" w:name="_Toc98235877"/>
      <w:bookmarkEnd w:id="31"/>
      <w:bookmarkEnd w:id="32"/>
      <w:r>
        <w:rPr>
          <w:shd w:fill="auto" w:val="clear"/>
        </w:rPr>
        <w:t>Komora transformatora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stacji przewiduje się montaż dwóch transformatorów w wykonaniu fabrycznym o mocy </w:t>
        <w:br/>
        <w:t xml:space="preserve">do 630 kVA. Transformatory są wstawiane przez drzwi lub dach i zabezpieczone </w:t>
        <w:br/>
        <w:t xml:space="preserve">przed przesuwaniem </w:t>
      </w:r>
      <w:r>
        <w:rPr>
          <w:rFonts w:eastAsia="Symbol" w:cs="Symbol"/>
          <w:shd w:fill="auto" w:val="clear"/>
        </w:rPr>
        <w:t>poprzez podkładki wibroizolacyjne</w:t>
      </w:r>
      <w:r>
        <w:rPr>
          <w:shd w:fill="auto" w:val="clear"/>
        </w:rPr>
        <w:t>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Komora transformatora oddzielona jest od pomieszczenia ruchu elektrycznego (wspólny korytarz obsługi rozdzielnicy nN i SN) </w:t>
      </w:r>
      <w:r>
        <w:rPr>
          <w:color w:val="000000"/>
          <w:shd w:fill="auto" w:val="clear"/>
        </w:rPr>
        <w:t>ścianką z blachy perforowanej</w:t>
      </w:r>
      <w:r>
        <w:rPr>
          <w:shd w:fill="auto" w:val="clear"/>
        </w:rPr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3" w:name="_Toc98235878"/>
      <w:bookmarkEnd w:id="33"/>
      <w:r>
        <w:rPr>
          <w:shd w:fill="auto" w:val="clear"/>
        </w:rPr>
        <w:t>Instalacje elektryczne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 x oprawa kanałowa okrągła  z gwintem E27 (w komorach transformatorów).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 x oprawa pyłoszczelna 2x36W (w przedziale obsługi wewnętrznej).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Oświetlenie stacji załączane i wyłączane jest poprzez łączniki umieszczone przy drzwiach.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Gniazdo jednofazowe zainstalowane jest obok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Zabezpieczenia obwodów potrzeb własnych stacji zainstalowane są w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Oprawy oświetleniowe zasilane są przewodami DY 3x1,5 mm2.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4" w:name="_Toc98235879"/>
      <w:bookmarkEnd w:id="34"/>
      <w:r>
        <w:rPr>
          <w:shd w:fill="auto" w:val="clear"/>
        </w:rPr>
        <w:t>Uziemienie stacji transformatorowej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stacji do głównej magistrali podłączono: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SN w dwóch punktach – linką minimum 50 [mm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] lub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Kadź transformatora – linką minimum 35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Dach stacji w dwóch punktach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Futryny, drzwi –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Uziemienie funkcjonalne -  bednarką Fe/Zn 40x5 [mm].</w:t>
      </w:r>
    </w:p>
    <w:p>
      <w:pPr>
        <w:pStyle w:val="Normal"/>
        <w:rPr>
          <w:szCs w:val="24"/>
          <w:highlight w:val="none"/>
          <w:shd w:fill="auto" w:val="clear"/>
          <w:lang w:eastAsia="pl-PL"/>
        </w:rPr>
      </w:pPr>
      <w:r>
        <w:rPr>
          <w:szCs w:val="24"/>
          <w:shd w:fill="auto" w:val="clear"/>
          <w:lang w:eastAsia="pl-PL"/>
        </w:rPr>
      </w:r>
    </w:p>
    <w:p>
      <w:pPr>
        <w:pStyle w:val="Normal"/>
        <w:rPr>
          <w:highlight w:val="none"/>
          <w:shd w:fill="auto" w:val="clear"/>
        </w:rPr>
      </w:pPr>
      <w:r>
        <w:rPr>
          <w:szCs w:val="24"/>
          <w:shd w:fill="auto" w:val="clear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Po połączeniu uziomu z instalacją uziemiającą stacji należy wykonać pomiar rezystancji uziemienia.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Niniejszy projekt nie obejmuje uziemienia zewnętrznego stacji transformatorowej.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>Ochrona przed przepięciami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  <w:t>Obudowa stacji nie będzie chroniona od bezpośrednich wyładowań atmosferycznych.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5" w:name="_Toc98235881"/>
      <w:bookmarkEnd w:id="35"/>
      <w:r>
        <w:rPr>
          <w:shd w:fill="auto" w:val="clear"/>
        </w:rPr>
        <w:t xml:space="preserve">  </w:t>
      </w:r>
      <w:r>
        <w:rPr>
          <w:shd w:fill="auto" w:val="clear"/>
        </w:rPr>
        <w:t>Obsługa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  <w:shd w:fill="auto" w:val="clear"/>
        </w:rPr>
        <w:t>Uwagi końcowe:</w:t>
      </w:r>
      <w:bookmarkEnd w:id="3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>
          <w:highlight w:val="none"/>
          <w:shd w:fill="auto" w:val="clear"/>
        </w:rPr>
      </w:pPr>
      <w:r>
        <w:rPr>
          <w:rFonts w:eastAsia="Symbol" w:cs="Symbol"/>
          <w:b/>
          <w:shd w:fill="auto" w:val="clear"/>
        </w:rPr>
        <w:t>Niniejszy projekt podlega adaptacji do warunków terenowych i technicznych.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jc w:val="center"/>
        <w:rPr/>
      </w:pPr>
      <w:r>
        <w:rPr>
          <w:b/>
          <w:bCs/>
          <w:shd w:fill="auto" w:val="clear"/>
          <w:lang w:val="en-US"/>
        </w:rPr>
        <w:t xml:space="preserve">EMITER </w:t>
      </w:r>
      <w:r>
        <w:rPr>
          <w:rStyle w:val="czeinternetoweuser"/>
          <w:b/>
          <w:bCs/>
          <w:vanish/>
          <w:shd w:fill="auto" w:val="clear"/>
          <w:lang w:val="en-US"/>
        </w:rPr>
        <w:t>wwww</w:t>
      </w:r>
    </w:p>
    <w:p>
      <w:pPr>
        <w:pStyle w:val="BodyText"/>
        <w:jc w:val="center"/>
        <w:rPr/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w</w:t>
        </w:r>
      </w:hyperlink>
      <w:r>
        <w:rPr>
          <w:rStyle w:val="czeinternetoweuser"/>
          <w:b/>
          <w:bCs/>
          <w:shd w:fill="auto" w:val="clear"/>
          <w:lang w:val="en-US"/>
        </w:rPr>
        <w:t>www.emiter.com</w:t>
      </w:r>
      <w:r>
        <w:rPr>
          <w:b/>
          <w:bCs/>
          <w:shd w:fill="auto" w:val="clear"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8" w:name="_Toc109201589"/>
      <w:bookmarkStart w:id="39" w:name="_Toc98235883"/>
      <w:bookmarkEnd w:id="39"/>
      <w:r>
        <w:rPr>
          <w:shd w:fill="auto" w:val="clear"/>
        </w:rPr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0" w:name="_Ref531700092"/>
      <w:bookmarkEnd w:id="40"/>
      <w:r>
        <w:rPr>
          <w:shd w:fill="auto" w:val="clear"/>
        </w:rPr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1" w:name="_Ref531765692"/>
      <w:bookmarkEnd w:id="41"/>
      <w:r>
        <w:rPr>
          <w:shd w:fill="auto" w:val="clear"/>
        </w:rPr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>
          <w:highlight w:val="none"/>
          <w:shd w:fill="auto" w:val="clear"/>
        </w:rPr>
      </w:pPr>
      <w:r>
        <w:rPr>
          <w:shd w:fill="auto" w:val="clear"/>
        </w:rPr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42" w:name="_Toc109201590"/>
      <w:bookmarkStart w:id="43" w:name="_Toc98235884"/>
      <w:bookmarkEnd w:id="43"/>
      <w:r>
        <w:rPr>
          <w:shd w:fill="auto" w:val="clear"/>
        </w:rPr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b/>
          <w:bCs w:val="false"/>
          <w:highlight w:val="none"/>
          <w:shd w:fill="auto" w:val="clear"/>
        </w:rPr>
      </w:pPr>
      <w:r>
        <w:rPr>
          <w:b/>
          <w:bCs w:val="false"/>
          <w:shd w:fill="auto" w:val="clear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  <w:shd w:fill="auto" w:val="clear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  <w:shd w:fill="auto" w:val="clear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  <w:shd w:fill="auto" w:val="clear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5"/>
      <w:bookmarkEnd w:id="49"/>
      <w:r>
        <w:rPr>
          <w:rStyle w:val="Strong"/>
          <w:rFonts w:eastAsia="Symbol" w:cs="Symbol"/>
          <w:b w:val="false"/>
          <w:bCs w:val="false"/>
          <w:shd w:fill="auto" w:val="clear"/>
        </w:rPr>
        <w:t xml:space="preserve"> </w:t>
      </w:r>
      <w:bookmarkStart w:id="51" w:name="_Toc109201597"/>
      <w:bookmarkEnd w:id="50"/>
      <w:r>
        <w:rPr>
          <w:rStyle w:val="Strong"/>
          <w:rFonts w:eastAsia="Symbol" w:cs="Symbol"/>
          <w:b w:val="false"/>
          <w:bCs w:val="false"/>
          <w:shd w:fill="auto" w:val="clear"/>
        </w:rPr>
        <w:t>Dach</w:t>
      </w:r>
      <w:bookmarkEnd w:id="51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Fonts w:eastAsia="Symbol" w:cs="Symbol"/>
          <w:b w:val="false"/>
          <w:bCs w:val="false"/>
          <w:highlight w:val="none"/>
          <w:shd w:fill="auto" w:val="clear"/>
        </w:rPr>
      </w:pPr>
      <w:r>
        <w:rPr>
          <w:rFonts w:eastAsia="Symbol" w:cs="Symbol"/>
          <w:b w:val="false"/>
          <w:bCs w:val="false"/>
          <w:shd w:fill="auto" w:val="clear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2" w:name="_Toc109201598"/>
      <w:r>
        <w:rPr>
          <w:rStyle w:val="Strong"/>
          <w:b w:val="false"/>
          <w:bCs w:val="false"/>
          <w:shd w:fill="auto" w:val="clear"/>
        </w:rPr>
        <w:t>Schemat elektryczny</w:t>
      </w:r>
      <w:bookmarkEnd w:id="52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3" w:name="_Toc109201599"/>
      <w:r>
        <w:rPr>
          <w:rStyle w:val="Strong"/>
          <w:b w:val="false"/>
          <w:bCs w:val="false"/>
          <w:shd w:fill="auto" w:val="clear"/>
        </w:rPr>
        <w:t>Rozdzielnica SN</w:t>
      </w:r>
      <w:bookmarkEnd w:id="53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  <w:shd w:fill="auto" w:val="clear"/>
        </w:rPr>
        <w:t>Rozdzielnica nN.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 xml:space="preserve">ETSI 30-60 2x630 kVA     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 xml:space="preserve">ETSI 30-60 2x630 kVA 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7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Application>LibreOffice/25.2.7.2$Windows_X86_64 LibreOffice_project/5cbfd1ab6520636bb5f7b99185aa69bd7456825d</Application>
  <AppVersion>15.0000</AppVersion>
  <DocSecurity>0</DocSecurity>
  <Pages>15</Pages>
  <Words>2879</Words>
  <Characters>18464</Characters>
  <CharactersWithSpaces>21280</CharactersWithSpaces>
  <Paragraphs>264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2024-02-26T13:27:00Z</dcterms:created>
  <dc:creator>Marek</dc:creator>
  <dc:description/>
  <dc:language>pl-PL</dc:language>
  <cp:lastModifiedBy/>
  <cp:lastPrinted>2022-05-10T06:53:00Z</cp:lastPrinted>
  <dcterms:modified xsi:type="dcterms:W3CDTF">2026-02-11T10:10:11Z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